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</w:t>
      </w:r>
      <w:r>
        <w:rPr>
          <w:rFonts w:hint="eastAsia"/>
          <w:b/>
          <w:bCs/>
          <w:sz w:val="44"/>
          <w:szCs w:val="44"/>
          <w:lang w:val="en-US" w:eastAsia="zh-CN"/>
        </w:rPr>
        <w:t>23</w:t>
      </w:r>
      <w:r>
        <w:rPr>
          <w:rFonts w:hint="eastAsia"/>
          <w:b/>
          <w:bCs/>
          <w:sz w:val="44"/>
          <w:szCs w:val="44"/>
        </w:rPr>
        <w:t>年管城回族区</w:t>
      </w:r>
      <w:r>
        <w:rPr>
          <w:rFonts w:hint="eastAsia"/>
          <w:b/>
          <w:bCs/>
          <w:sz w:val="44"/>
          <w:szCs w:val="44"/>
          <w:lang w:eastAsia="zh-CN"/>
        </w:rPr>
        <w:t>政府预算公开</w:t>
      </w:r>
      <w:r>
        <w:rPr>
          <w:rFonts w:hint="eastAsia"/>
          <w:b/>
          <w:bCs/>
          <w:sz w:val="44"/>
          <w:szCs w:val="44"/>
        </w:rPr>
        <w:t>情况说明</w:t>
      </w:r>
    </w:p>
    <w:p>
      <w:pPr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2023年我区</w:t>
      </w:r>
      <w:r>
        <w:rPr>
          <w:rFonts w:hint="eastAsia" w:ascii="黑体" w:hAnsi="黑体" w:eastAsia="黑体" w:cs="黑体"/>
          <w:b w:val="0"/>
          <w:bCs w:val="0"/>
          <w:sz w:val="32"/>
          <w:szCs w:val="40"/>
          <w:lang w:eastAsia="zh-CN"/>
        </w:rPr>
        <w:t>三公经费安排情况说明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2023年我区“三公”经费预算安排数为202万元，其中：公务接待费安排30万元，因公出国（境）费安排0万元，公务用车费安排172万元（全部为公务用车运行维护费）。具体说明如下：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1、公务接待费预算安排30万元，较上年减少3万元。减少原因是我区严格贯彻落实党中央厉行节约的规定，严格控制公务接待规模和标准。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2、我区2023年公务用车运行维护费预算安排172万元，与上年持平。我区2023年公务用车购置费0万元，比去年减少29万元，减少原因是我区严格贯彻落实党中央厉行节约的规定，严格控制公务用车购置数量和规模。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二、2023年财政扶贫资金情况说明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2023年我区不涉及财政扶贫资金。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三、2023年返还性收入及转移支付情况说明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1、返还性收入情况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2023年我区返还性收入共17362万元，其中：所得税基数返还收入 2912万元，成品油税费改革税收返还收入113万元，增值税税收返还收入2062万元，消费税税收返还收入3723万元，增值税“五五分享”税收返还收入8552万元。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2、转移支付情况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2023年上级财政提前下达我区一般性转移支付资金共计7026万元，其中：均衡性转移支付收入24万元、公共安全共同财政事权转移支付收入32万元、教育共同财政事权转移支付收入50万元、社会保障和就业共同财政事权转移支付收入2365万元、医疗卫生共同财政事权转移支付收入4555万元；提前下达我区专项转移支付收入共计142万元，其中：卫生健康142万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地方政府债务情况说明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楷体" w:hAnsi="楷体" w:eastAsia="楷体" w:cs="楷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kern w:val="2"/>
          <w:sz w:val="32"/>
          <w:szCs w:val="32"/>
          <w:highlight w:val="none"/>
          <w:lang w:val="en-US" w:eastAsia="zh-CN" w:bidi="ar-SA"/>
        </w:rPr>
        <w:t>（一）债务限额及余额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按照《预算法》规定，目前地方政府债务实行限额管理。核定我区2022年政府债务限额为691746万元，其中：一般债务限额215495万元，专项债务限额476251万元。截至2022年末，我区政府性债务余额为634863万元，其中：一般债务184657万元，专项债务450206万元，均未超过核定的债务限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kern w:val="2"/>
          <w:sz w:val="32"/>
          <w:szCs w:val="32"/>
          <w:highlight w:val="none"/>
          <w:lang w:val="en-US" w:eastAsia="zh-CN" w:bidi="ar-SA"/>
        </w:rPr>
        <w:t>（二）上年度（2022年）本区还本付息情况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2022年，全区全年到期政府债券本金 79315万元，其中：一般债券本金42778万元，专项债券本金37197万元。2022年我区发行再融资债券偿还到期本金79100万元，通过自有财力偿还到期本金 215 万元。2022年，支付到期政府债券利息18760.83万元，其中：一般债券利息6037.57万元，专项债券利息12723.26万元.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kern w:val="2"/>
          <w:sz w:val="32"/>
          <w:szCs w:val="32"/>
          <w:highlight w:val="none"/>
          <w:lang w:val="en-US" w:eastAsia="zh-CN" w:bidi="ar-SA"/>
        </w:rPr>
        <w:t>（三）本年度（2023年）本区还本付息预算数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2023年，我区发行再融资债券偿还到期本金47100万元，其中：一般债券本金21300万元，专项债券本金25800万元。使用自有财力偿还到期本金3771万元，其中：一般债券本金142万元，专项债券本金3629万元。2023年，支付到期政府债券利息20851.96万元，其中：一般债券利息5996.43万元，专项债券利息14855.52万元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kern w:val="2"/>
          <w:sz w:val="32"/>
          <w:szCs w:val="32"/>
          <w:highlight w:val="none"/>
          <w:lang w:val="en-US" w:eastAsia="zh-CN" w:bidi="ar-SA"/>
        </w:rPr>
        <w:t>（四）本年度年本区地方政府债券资金使用安排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2023年，我区在市政府批准的限额内，通过发行地方政府债券的方式举借政府债务。一般债券收支纳入一般公共预算管理，专项债券收支纳入政府性基金预算管理。2023年申请新增债券74607万元。其中：一般债券资金5707万元，主要用于学前教育、城市建设、水利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专项债券资金68900万元，主要用于医疗、老旧小区改造、文化旅游、幼儿园升级改造项目和公厕及城镇污水垃圾处理设施新建改建项目。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五、重大政策和重点项目等绩效执行说明 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highlight w:val="none"/>
          <w:u w:val="none" w:color="000000"/>
          <w:lang w:val="zh-TW" w:eastAsia="zh-TW"/>
        </w:rPr>
        <w:t>根据《中共中央 国务院关于全面实施预算绩效管理的意见》（中发〔2018〕34号）和《管城回族区委  区政府关于全面推进预算绩效管理的实施意见》（管文〔2020〕9号）文件精神，全面深化预算绩效管理工作，所有项目都将作为预算绩效管理项目，纳入绩效考核范围。在预算编制环节中，</w:t>
      </w:r>
      <w:r>
        <w:rPr>
          <w:rFonts w:hint="eastAsia" w:eastAsia="仿宋_GB2312" w:cs="Times New Roman"/>
          <w:color w:val="000000"/>
          <w:highlight w:val="none"/>
          <w:u w:val="none" w:color="000000"/>
          <w:lang w:val="zh-TW" w:eastAsia="zh-CN"/>
        </w:rPr>
        <w:t>对于</w:t>
      </w:r>
      <w:r>
        <w:rPr>
          <w:rFonts w:hint="default" w:ascii="Times New Roman" w:hAnsi="Times New Roman" w:eastAsia="仿宋_GB2312" w:cs="Times New Roman"/>
          <w:color w:val="000000"/>
          <w:highlight w:val="none"/>
          <w:u w:val="none" w:color="000000"/>
          <w:lang w:val="zh-TW" w:eastAsia="zh-TW"/>
        </w:rPr>
        <w:t>首次纳入项目库的项目要按要求编制《事前绩效评估项目政策预期绩效报告》，进入预算库的项目要按要求编制《区级部门预算项目绩效目标申报表》，并按照202</w:t>
      </w:r>
      <w:r>
        <w:rPr>
          <w:rFonts w:hint="eastAsia" w:eastAsia="仿宋_GB2312" w:cs="Times New Roman"/>
          <w:color w:val="000000"/>
          <w:highlight w:val="none"/>
          <w:u w:val="none" w:color="00000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highlight w:val="none"/>
          <w:u w:val="none" w:color="000000"/>
          <w:lang w:val="zh-TW" w:eastAsia="zh-TW"/>
        </w:rPr>
        <w:t>年度部门工作计划编制《区级部门整体绩效目标申报表》。202</w:t>
      </w:r>
      <w:r>
        <w:rPr>
          <w:rFonts w:hint="eastAsia" w:eastAsia="仿宋_GB2312" w:cs="Times New Roman"/>
          <w:color w:val="000000"/>
          <w:highlight w:val="none"/>
          <w:u w:val="none" w:color="00000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highlight w:val="none"/>
          <w:u w:val="none" w:color="000000"/>
          <w:lang w:val="zh-TW" w:eastAsia="zh-TW"/>
        </w:rPr>
        <w:t>年度中，根据填报的预算绩效目标</w:t>
      </w:r>
      <w:r>
        <w:rPr>
          <w:rFonts w:hint="eastAsia" w:eastAsia="仿宋_GB2312" w:cs="Times New Roman"/>
          <w:color w:val="000000"/>
          <w:highlight w:val="none"/>
          <w:u w:val="none" w:color="000000"/>
          <w:lang w:val="zh-TW" w:eastAsia="zh-CN"/>
        </w:rPr>
        <w:t>开展绩效监控</w:t>
      </w:r>
      <w:r>
        <w:rPr>
          <w:rFonts w:hint="default" w:ascii="Times New Roman" w:hAnsi="Times New Roman" w:eastAsia="仿宋_GB2312" w:cs="Times New Roman"/>
          <w:color w:val="000000"/>
          <w:highlight w:val="none"/>
          <w:u w:val="none" w:color="000000"/>
          <w:lang w:val="zh-TW" w:eastAsia="zh-TW"/>
        </w:rPr>
        <w:t>工作。我区将从实际出发，进一步创新思路，抓好落实，积极响应中央、省、市预算绩效管理的推动工作，切实优化财政资源配置效率，提高财政资金使用效率和效益。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六、预算调整报告说明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2023年我区目前未进行预算调整。</w:t>
      </w:r>
    </w:p>
    <w:p>
      <w:pPr>
        <w:pStyle w:val="2"/>
        <w:numPr>
          <w:ilvl w:val="0"/>
          <w:numId w:val="2"/>
        </w:numP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空表说明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1、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表十二 2023年政府性基金本级收入预算表，空表原因：我区本级2023年无政府性基金收入预算。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2、表十八 2023年国有资本经营预算转移支付表，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空表原因：我区本级2023年无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国有资本经营预算转移支付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预算。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EC51D0"/>
    <w:multiLevelType w:val="singleLevel"/>
    <w:tmpl w:val="39EC51D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9DE3B4A"/>
    <w:multiLevelType w:val="singleLevel"/>
    <w:tmpl w:val="59DE3B4A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4ZWY4ZDExZWQ5NmVhMzMyODUxMWQ2NDlkYjk5NmUifQ=="/>
  </w:docVars>
  <w:rsids>
    <w:rsidRoot w:val="00000000"/>
    <w:rsid w:val="01CD728C"/>
    <w:rsid w:val="0E046D4B"/>
    <w:rsid w:val="13555FF5"/>
    <w:rsid w:val="15FD6F99"/>
    <w:rsid w:val="1A1B4281"/>
    <w:rsid w:val="1B4B22BB"/>
    <w:rsid w:val="1D6D5489"/>
    <w:rsid w:val="24E16F04"/>
    <w:rsid w:val="2791761C"/>
    <w:rsid w:val="28976B6A"/>
    <w:rsid w:val="2BED2112"/>
    <w:rsid w:val="308E23EC"/>
    <w:rsid w:val="348F22D5"/>
    <w:rsid w:val="43854A0A"/>
    <w:rsid w:val="68D72BBC"/>
    <w:rsid w:val="77CB6F19"/>
    <w:rsid w:val="7D0114EA"/>
    <w:rsid w:val="7F6D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autoRedefine/>
    <w:unhideWhenUsed/>
    <w:qFormat/>
    <w:uiPriority w:val="99"/>
    <w:pPr>
      <w:widowControl w:val="0"/>
      <w:ind w:firstLine="562" w:firstLineChars="200"/>
    </w:pPr>
    <w:rPr>
      <w:rFonts w:cs="宋体"/>
      <w:szCs w:val="24"/>
    </w:rPr>
  </w:style>
  <w:style w:type="paragraph" w:styleId="3">
    <w:name w:val="Body Text"/>
    <w:basedOn w:val="1"/>
    <w:unhideWhenUsed/>
    <w:qFormat/>
    <w:uiPriority w:val="1"/>
    <w:pPr>
      <w:spacing w:after="120"/>
    </w:pPr>
  </w:style>
  <w:style w:type="paragraph" w:styleId="4">
    <w:name w:val="Plain Text"/>
    <w:basedOn w:val="1"/>
    <w:autoRedefine/>
    <w:qFormat/>
    <w:uiPriority w:val="0"/>
    <w:rPr>
      <w:rFonts w:ascii="宋体" w:hAnsi="Courier New" w:eastAsia="仿宋_GB2312"/>
      <w:sz w:val="32"/>
      <w:szCs w:val="20"/>
    </w:rPr>
  </w:style>
  <w:style w:type="paragraph" w:customStyle="1" w:styleId="7">
    <w:name w:val="正文 A"/>
    <w:qFormat/>
    <w:uiPriority w:val="0"/>
    <w:pPr>
      <w:keepNext w:val="0"/>
      <w:keepLines w:val="0"/>
      <w:pageBreakBefore w:val="0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Lines="0" w:beforeAutospacing="0" w:after="0" w:afterLines="0" w:afterAutospacing="0" w:line="240" w:lineRule="auto"/>
      <w:ind w:left="0" w:right="0" w:firstLine="0"/>
      <w:jc w:val="both"/>
      <w:outlineLvl w:val="9"/>
    </w:pPr>
    <w:rPr>
      <w:rFonts w:ascii="Times New Roman" w:hAnsi="Times New Roman" w:eastAsia="Times New Roman" w:cs="Times New Roman"/>
      <w:color w:val="000000"/>
      <w:spacing w:val="0"/>
      <w:w w:val="100"/>
      <w:kern w:val="2"/>
      <w:position w:val="0"/>
      <w:sz w:val="32"/>
      <w:szCs w:val="32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1352</Words>
  <Characters>1612</Characters>
  <Lines>0</Lines>
  <Paragraphs>0</Paragraphs>
  <TotalTime>3</TotalTime>
  <ScaleCrop>false</ScaleCrop>
  <LinksUpToDate>false</LinksUpToDate>
  <CharactersWithSpaces>1618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2021-06-03T02:11:00Z</dcterms:created>
  <dc:creator>Administrator</dc:creator>
  <cp:lastModifiedBy>『遇見』</cp:lastModifiedBy>
  <dcterms:modified xsi:type="dcterms:W3CDTF">2024-02-19T08:45:25Z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5FEEB49DA0F24FD4A3D366C1CCF32561</vt:lpwstr>
  </property>
</Properties>
</file>