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  <w:t>2019年商务局信息公开年报</w:t>
      </w:r>
    </w:p>
    <w:p>
      <w:pPr>
        <w:ind w:firstLine="640" w:firstLineChars="200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2019年我局认真贯彻落实上级文件要求，坚持“公正、公平、合法、真实、便民、及时、便于监督”的政府信息公开原则，严格按照政府信息公开的工作要求，认真研究部署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商务局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信息公开工作的开展，健全信息公开工作机制，进一步规范信息公开程序，确保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商务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工作领域信息能够按规定及时公开。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截止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2019年12月31日，依托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郑州市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门户网站主动公开政府信息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.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5"/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E6F4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9.8000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  <w:bookmarkEnd w:id="0"/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存在问题及改进措施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年，我局政府信息公开工作也存在一些问题，如信息公开的及时性、针对性还有待加强；主动公开的意识不强；信息公开对提升业务工作水平的成效还不明显等等。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我局将遵循市、区最新指示和要求，按照“全面、真实、及时、便民”的原则，不断提高信息公开服务意识，继续提升政府信息公开的制度化、长效化工作水平，全面推进主动信息公开工作，做到决策、执行、管理、服务和结果全程公开，不断提升商务工作的科学化、信息化水平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rPr>
          <w:rFonts w:hint="eastAsia" w:ascii="仿宋_GB2312" w:hAnsi="宋体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9D9A"/>
    <w:multiLevelType w:val="singleLevel"/>
    <w:tmpl w:val="5E269D9A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2D46"/>
    <w:rsid w:val="0A340937"/>
    <w:rsid w:val="12C76C15"/>
    <w:rsid w:val="1EBE7235"/>
    <w:rsid w:val="262A2AD7"/>
    <w:rsid w:val="26E24432"/>
    <w:rsid w:val="2B867BAE"/>
    <w:rsid w:val="491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2020-01-21T06:19:00Z</dcterms:created>
  <dc:creator>龍</dc:creator>
  <cp:lastModifiedBy>龍</cp:lastModifiedBy>
  <cp:lastPrinted>2020-01-22T00:44:00Z</cp:lastPrinted>
  <dcterms:modified xsi:type="dcterms:W3CDTF">2020-01-22T01:17:18Z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