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color="auto" w:fill="FFFFFF"/>
        <w:ind w:left="0" w:firstLine="1084" w:firstLineChars="400"/>
        <w:rPr>
          <w:rFonts w:ascii="Verdana" w:hAnsi="Verdana" w:cs="Verdan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t>2016年</w:t>
      </w:r>
      <w:r>
        <w:rPr>
          <w:rStyle w:val="4"/>
          <w:rFonts w:hint="eastAsia" w:ascii="宋体" w:hAnsi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  <w:lang w:eastAsia="zh-CN"/>
        </w:rPr>
        <w:t>郑州市管城回族区科学技术局</w:t>
      </w:r>
      <w:bookmarkStart w:id="0" w:name="_GoBack"/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t>部门决算公开目录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ind w:lef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1、部门收支决算总表  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ind w:lef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2、部门收入决算表  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ind w:lef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3、部门支出决算表  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ind w:lef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4、部门支出决算总表  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ind w:lef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5、部门一般公共预算财政拨款支出表  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ind w:lef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6、部门一般公共预算财政拨款基本支出表  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ind w:lef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7、部门一般公共预算财政拨款“三公经费”表  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ind w:lef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8、部门政府性基金预算财政拨款收入支出表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5B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科技局</cp:lastModifiedBy>
  <dcterms:modified xsi:type="dcterms:W3CDTF">2017-10-27T07:20:49Z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