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管城回族区教育局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年“双随机、一公开”监管抽查计划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抽查工作于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日开始，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12月31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二、抽查事项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（一）事项内容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民办学校年度检查。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局属学校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春季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校园安全工作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3.局属学校秋季校园安全工作大检查。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管城区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重点民生实事中小学建设项目检查。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学校食品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卫生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和传染病防控检查。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学生资助政策落实情况监督检查。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（二）抽查结果的处理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检查结果录入信用信息公示系统，并进行公示。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工作流程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两库名单的确定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确定抽查对象。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检查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根据检查对象和检查人员变动情况，对“两库”进行动态管理。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检查方式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采用实地检查、听取汇报、调查问卷、查看资料等。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检查结果处理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检查结果及时公布，发现问题依法依规处理。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要高度重视，统筹协调工作中存在的问题，切实把“双随机、一公开”抽查监管落到实处。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</w:rPr>
        <w:t>（二）严格抽查纪律。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对被检单位实施检查时，不能妨碍被检单位的正常工作运转，不得谋取其他利益。对抽查监管工作中失职渎职和违纪的，要依法依纪严肃处理。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</w:rPr>
        <w:t>（三）加强宣传培训。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“双随机、一公开”抽查是事中事后监管方式的探索和创新，各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要加大宣传力度，探索完善“双随机、一公开”抽查监管方法，不断提高执法能力。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000000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linePitch="574" w:charSpace="-849"/>
        </w:sect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</w:rPr>
        <w:t>（四）接受社会监督。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及时向社会公开随机抽查事项清单，公布抽查情况和抽查结果，扩大随机抽查的影响面，接受社会监督。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ZmEwZDEyOTZlMTZiMmM5MjQ2MzAzNjMwMzI0ZjcifQ=="/>
  </w:docVars>
  <w:rsids>
    <w:rsidRoot w:val="00000000"/>
    <w:rsid w:val="018727CA"/>
    <w:rsid w:val="7D06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581</Words>
  <Characters>600</Characters>
  <Lines>0</Lines>
  <Paragraphs>0</Paragraphs>
  <TotalTime>0</TotalTime>
  <ScaleCrop>false</ScaleCrop>
  <LinksUpToDate>false</LinksUpToDate>
  <CharactersWithSpaces>600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2023-04-25T03:55:00Z</dcterms:created>
  <dc:creator>Administrator</dc:creator>
  <cp:lastModifiedBy>冯振华</cp:lastModifiedBy>
  <dcterms:modified xsi:type="dcterms:W3CDTF">2023-04-25T04:03:17Z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D821ED1BF7464FED8DB2C51FBD5DCAF4_12</vt:lpwstr>
  </property>
</Properties>
</file>