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5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管城区发展和改革委员会2023年度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“双随机、一公开”抽查计划</w:t>
      </w:r>
    </w:p>
    <w:p>
      <w:pPr>
        <w:spacing w:line="55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13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22"/>
        <w:gridCol w:w="1148"/>
        <w:gridCol w:w="2707"/>
        <w:gridCol w:w="1215"/>
        <w:gridCol w:w="1380"/>
        <w:gridCol w:w="1200"/>
        <w:gridCol w:w="1335"/>
        <w:gridCol w:w="156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exac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  <w:t>抽查事项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hd w:val="clear" w:color="auto" w:fill="FFFFFF"/>
                <w:lang w:eastAsia="zh-CN"/>
              </w:rPr>
              <w:t>抽查事项类别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  <w:t>抽查依据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  <w:t>抽查主体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sz w:val="24"/>
                <w:shd w:val="clear" w:color="auto" w:fill="FFFFFF"/>
              </w:rPr>
              <w:t>抽查对象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抽查比例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抽</w:t>
            </w:r>
            <w:r>
              <w:rPr>
                <w:rFonts w:hint="eastAsia" w:ascii="黑体" w:hAnsi="黑体" w:eastAsia="黑体" w:cs="黑体"/>
                <w:sz w:val="24"/>
              </w:rPr>
              <w:t>查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抽查</w:t>
            </w: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责任科室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粮食库存检查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一般检查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《粮食流通管理条例》《粮油仓储管理办法》《国有粮油仓储物流设施保护办法》《粮食库存检查暂行办法》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管城区发展和改革委员会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全区粮食存储企业，重点是政策性粮食存储企业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不定期检查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粮食管理和物资储备科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企业投资项目备案检查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一般检查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《企业投资项目核准和备案管理条例》（国家发改委令第14号），《企业投资项目核准和备案管理办法》（国家发改委令第2号）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管城区发展和改革委员会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企业投资项目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根据实际情况确定具体实施时间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投资审批科、工农业能源科、重点项目建设管理科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ZjlhMzM4ZTI4NjUxYjRjMDRkMTkxMjYwMGY1ZTcifQ=="/>
  </w:docVars>
  <w:rsids>
    <w:rsidRoot w:val="00000000"/>
    <w:rsid w:val="02987065"/>
    <w:rsid w:val="2D1F5477"/>
    <w:rsid w:val="464B4CF6"/>
    <w:rsid w:val="69A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  <w:rPr>
      <w:rFonts w:ascii="Times New Roman" w:hAnsi="Times New Roman" w:eastAsia="宋体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二级标题"/>
    <w:basedOn w:val="1"/>
    <w:qFormat/>
    <w:uiPriority w:val="0"/>
    <w:rPr>
      <w:rFonts w:ascii="Calibri" w:hAnsi="Calibri" w:eastAsia="楷体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LJ</cp:lastModifiedBy>
  <dcterms:modified xsi:type="dcterms:W3CDTF">2023-05-12T09:08:12Z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A6903AF2EC5A4CD895E98FCE23163E42_12</vt:lpwstr>
  </property>
</Properties>
</file>